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rPr/>
      </w:pPr>
      <w:bookmarkStart w:colFirst="0" w:colLast="0" w:name="_ihqn35w18rln" w:id="0"/>
      <w:bookmarkEnd w:id="0"/>
      <w:r w:rsidDel="00000000" w:rsidR="00000000" w:rsidRPr="00000000">
        <w:rPr>
          <w:rtl w:val="0"/>
        </w:rPr>
        <w:t xml:space="preserve">Use this as a tool to help you plan for the improvement of the way your school prepares students for their transition to university and young adulthood. By connecting your goals with meaningful, malleable, and measurable skills you will be more effective in evaluating the success of your schools transition support. </w:t>
      </w:r>
    </w:p>
    <w:tbl>
      <w:tblPr>
        <w:tblStyle w:val="Table1"/>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Subtitle"/>
              <w:rPr/>
            </w:pPr>
            <w:bookmarkStart w:colFirst="0" w:colLast="0" w:name="_mjjoezrxb0cp" w:id="1"/>
            <w:bookmarkEnd w:id="1"/>
            <w:r w:rsidDel="00000000" w:rsidR="00000000" w:rsidRPr="00000000">
              <w:rPr>
                <w:rtl w:val="0"/>
              </w:rPr>
              <w:t xml:space="preserve">Definition of Young Adult Success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pStyle w:val="Subtitle"/>
        <w:rPr/>
      </w:pPr>
      <w:bookmarkStart w:colFirst="0" w:colLast="0" w:name="_iemyed973fto" w:id="2"/>
      <w:bookmarkEnd w:id="2"/>
      <w:r w:rsidDel="00000000" w:rsidR="00000000" w:rsidRPr="00000000">
        <w:rPr>
          <w:rtl w:val="0"/>
        </w:rPr>
      </w:r>
    </w:p>
    <w:tbl>
      <w:tblPr>
        <w:tblStyle w:val="Table2"/>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pStyle w:val="Subtitle"/>
              <w:rPr/>
            </w:pPr>
            <w:bookmarkStart w:colFirst="0" w:colLast="0" w:name="_wgtyyepgkx6b" w:id="3"/>
            <w:bookmarkEnd w:id="3"/>
            <w:r w:rsidDel="00000000" w:rsidR="00000000" w:rsidRPr="00000000">
              <w:rPr>
                <w:rtl w:val="0"/>
              </w:rPr>
              <w:t xml:space="preserve">School and Community Values/Beliefs</w:t>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tc>
      </w:tr>
    </w:tbl>
    <w:p w:rsidR="00000000" w:rsidDel="00000000" w:rsidP="00000000" w:rsidRDefault="00000000" w:rsidRPr="00000000" w14:paraId="00000017">
      <w:pPr>
        <w:pStyle w:val="Subtitle"/>
        <w:rPr/>
      </w:pPr>
      <w:bookmarkStart w:colFirst="0" w:colLast="0" w:name="_vpn8hvwjkrof" w:id="4"/>
      <w:bookmarkEnd w:id="4"/>
      <w:r w:rsidDel="00000000" w:rsidR="00000000" w:rsidRPr="00000000">
        <w:rPr>
          <w:rtl w:val="0"/>
        </w:rPr>
      </w:r>
    </w:p>
    <w:tbl>
      <w:tblPr>
        <w:tblStyle w:val="Table3"/>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Style w:val="Subtitle"/>
              <w:rPr/>
            </w:pPr>
            <w:bookmarkStart w:colFirst="0" w:colLast="0" w:name="_rios0ivght4j" w:id="5"/>
            <w:bookmarkEnd w:id="5"/>
            <w:r w:rsidDel="00000000" w:rsidR="00000000" w:rsidRPr="00000000">
              <w:rPr>
                <w:rtl w:val="0"/>
              </w:rPr>
              <w:t xml:space="preserve">Goals</w:t>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Style w:val="Subtitle"/>
              <w:rPr/>
            </w:pPr>
            <w:bookmarkStart w:colFirst="0" w:colLast="0" w:name="_3simyq82n181" w:id="6"/>
            <w:bookmarkEnd w:id="6"/>
            <w:r w:rsidDel="00000000" w:rsidR="00000000" w:rsidRPr="00000000">
              <w:rPr>
                <w:rtl w:val="0"/>
              </w:rPr>
              <w:t xml:space="preserve">Associated Skills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pStyle w:val="Subtitle"/>
              <w:rPr/>
            </w:pPr>
            <w:bookmarkStart w:colFirst="0" w:colLast="0" w:name="_rios0ivght4j" w:id="5"/>
            <w:bookmarkEnd w:id="5"/>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r>
          </w:p>
          <w:p w:rsidR="00000000" w:rsidDel="00000000" w:rsidP="00000000" w:rsidRDefault="00000000" w:rsidRPr="00000000" w14:paraId="0000002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Style w:val="Subtitle"/>
              <w:rPr/>
            </w:pPr>
            <w:bookmarkStart w:colFirst="0" w:colLast="0" w:name="_3simyq82n181" w:id="6"/>
            <w:bookmarkEnd w:id="6"/>
            <w:r w:rsidDel="00000000" w:rsidR="00000000" w:rsidRPr="00000000">
              <w:rPr>
                <w:rtl w:val="0"/>
              </w:rPr>
            </w:r>
          </w:p>
        </w:tc>
      </w:tr>
    </w:tbl>
    <w:p w:rsidR="00000000" w:rsidDel="00000000" w:rsidP="00000000" w:rsidRDefault="00000000" w:rsidRPr="00000000" w14:paraId="00000022">
      <w:pPr>
        <w:pStyle w:val="Subtitle"/>
        <w:rPr/>
        <w:sectPr>
          <w:headerReference r:id="rId6" w:type="default"/>
          <w:pgSz w:h="16838" w:w="11906"/>
          <w:pgMar w:bottom="720" w:top="720" w:left="720" w:right="720" w:header="720" w:footer="720"/>
          <w:pgNumType w:start="1"/>
        </w:sectPr>
      </w:pPr>
      <w:bookmarkStart w:colFirst="0" w:colLast="0" w:name="_dqb61wrabsjx" w:id="7"/>
      <w:bookmarkEnd w:id="7"/>
      <w:r w:rsidDel="00000000" w:rsidR="00000000" w:rsidRPr="00000000">
        <w:rPr>
          <w:rtl w:val="0"/>
        </w:rPr>
        <w:t xml:space="preserve">Examples of meaningful, malleable, and measurable skills.</w:t>
      </w:r>
    </w:p>
    <w:p w:rsidR="00000000" w:rsidDel="00000000" w:rsidP="00000000" w:rsidRDefault="00000000" w:rsidRPr="00000000" w14:paraId="00000023">
      <w:pPr>
        <w:spacing w:line="240" w:lineRule="auto"/>
        <w:rPr/>
      </w:pPr>
      <w:r w:rsidDel="00000000" w:rsidR="00000000" w:rsidRPr="00000000">
        <w:rPr>
          <w:rtl w:val="0"/>
        </w:rPr>
        <w:t xml:space="preserve">Adaptability</w:t>
      </w:r>
    </w:p>
    <w:p w:rsidR="00000000" w:rsidDel="00000000" w:rsidP="00000000" w:rsidRDefault="00000000" w:rsidRPr="00000000" w14:paraId="00000024">
      <w:pPr>
        <w:spacing w:line="240" w:lineRule="auto"/>
        <w:rPr/>
      </w:pPr>
      <w:r w:rsidDel="00000000" w:rsidR="00000000" w:rsidRPr="00000000">
        <w:rPr>
          <w:rtl w:val="0"/>
        </w:rPr>
        <w:t xml:space="preserve">Cognitive flexibility</w:t>
      </w:r>
    </w:p>
    <w:p w:rsidR="00000000" w:rsidDel="00000000" w:rsidP="00000000" w:rsidRDefault="00000000" w:rsidRPr="00000000" w14:paraId="00000025">
      <w:pPr>
        <w:spacing w:line="240" w:lineRule="auto"/>
        <w:rPr/>
      </w:pPr>
      <w:r w:rsidDel="00000000" w:rsidR="00000000" w:rsidRPr="00000000">
        <w:rPr>
          <w:rtl w:val="0"/>
        </w:rPr>
        <w:t xml:space="preserve">Communication</w:t>
      </w:r>
    </w:p>
    <w:p w:rsidR="00000000" w:rsidDel="00000000" w:rsidP="00000000" w:rsidRDefault="00000000" w:rsidRPr="00000000" w14:paraId="00000026">
      <w:pPr>
        <w:spacing w:line="240" w:lineRule="auto"/>
        <w:rPr/>
      </w:pPr>
      <w:r w:rsidDel="00000000" w:rsidR="00000000" w:rsidRPr="00000000">
        <w:rPr>
          <w:rtl w:val="0"/>
        </w:rPr>
        <w:t xml:space="preserve">Complex problem solving</w:t>
      </w:r>
    </w:p>
    <w:p w:rsidR="00000000" w:rsidDel="00000000" w:rsidP="00000000" w:rsidRDefault="00000000" w:rsidRPr="00000000" w14:paraId="00000027">
      <w:pPr>
        <w:spacing w:line="240" w:lineRule="auto"/>
        <w:rPr/>
      </w:pPr>
      <w:r w:rsidDel="00000000" w:rsidR="00000000" w:rsidRPr="00000000">
        <w:rPr>
          <w:rtl w:val="0"/>
        </w:rPr>
        <w:t xml:space="preserve">Conflict resolution</w:t>
      </w:r>
    </w:p>
    <w:p w:rsidR="00000000" w:rsidDel="00000000" w:rsidP="00000000" w:rsidRDefault="00000000" w:rsidRPr="00000000" w14:paraId="00000028">
      <w:pPr>
        <w:spacing w:line="240" w:lineRule="auto"/>
        <w:rPr/>
      </w:pPr>
      <w:r w:rsidDel="00000000" w:rsidR="00000000" w:rsidRPr="00000000">
        <w:rPr>
          <w:rtl w:val="0"/>
        </w:rPr>
        <w:t xml:space="preserve">Creativity</w:t>
      </w:r>
    </w:p>
    <w:p w:rsidR="00000000" w:rsidDel="00000000" w:rsidP="00000000" w:rsidRDefault="00000000" w:rsidRPr="00000000" w14:paraId="00000029">
      <w:pPr>
        <w:spacing w:line="240" w:lineRule="auto"/>
        <w:rPr/>
      </w:pPr>
      <w:r w:rsidDel="00000000" w:rsidR="00000000" w:rsidRPr="00000000">
        <w:rPr>
          <w:rtl w:val="0"/>
        </w:rPr>
        <w:t xml:space="preserve">Critical thinking</w:t>
      </w:r>
    </w:p>
    <w:p w:rsidR="00000000" w:rsidDel="00000000" w:rsidP="00000000" w:rsidRDefault="00000000" w:rsidRPr="00000000" w14:paraId="0000002A">
      <w:pPr>
        <w:spacing w:line="240" w:lineRule="auto"/>
        <w:rPr/>
      </w:pPr>
      <w:r w:rsidDel="00000000" w:rsidR="00000000" w:rsidRPr="00000000">
        <w:rPr>
          <w:rtl w:val="0"/>
        </w:rPr>
        <w:t xml:space="preserve">Delayed gratification</w:t>
      </w:r>
    </w:p>
    <w:p w:rsidR="00000000" w:rsidDel="00000000" w:rsidP="00000000" w:rsidRDefault="00000000" w:rsidRPr="00000000" w14:paraId="0000002B">
      <w:pPr>
        <w:spacing w:line="240" w:lineRule="auto"/>
        <w:rPr/>
      </w:pPr>
      <w:r w:rsidDel="00000000" w:rsidR="00000000" w:rsidRPr="00000000">
        <w:rPr>
          <w:rtl w:val="0"/>
        </w:rPr>
        <w:t xml:space="preserve">Emotion recognition</w:t>
      </w:r>
    </w:p>
    <w:p w:rsidR="00000000" w:rsidDel="00000000" w:rsidP="00000000" w:rsidRDefault="00000000" w:rsidRPr="00000000" w14:paraId="0000002C">
      <w:pPr>
        <w:spacing w:line="240" w:lineRule="auto"/>
        <w:rPr/>
      </w:pPr>
      <w:r w:rsidDel="00000000" w:rsidR="00000000" w:rsidRPr="00000000">
        <w:rPr>
          <w:rtl w:val="0"/>
        </w:rPr>
        <w:t xml:space="preserve">Forethought</w:t>
      </w:r>
    </w:p>
    <w:p w:rsidR="00000000" w:rsidDel="00000000" w:rsidP="00000000" w:rsidRDefault="00000000" w:rsidRPr="00000000" w14:paraId="0000002D">
      <w:pPr>
        <w:spacing w:line="240" w:lineRule="auto"/>
        <w:rPr/>
      </w:pPr>
      <w:r w:rsidDel="00000000" w:rsidR="00000000" w:rsidRPr="00000000">
        <w:rPr>
          <w:rtl w:val="0"/>
        </w:rPr>
        <w:t xml:space="preserve">Frustration tolerance</w:t>
      </w:r>
    </w:p>
    <w:p w:rsidR="00000000" w:rsidDel="00000000" w:rsidP="00000000" w:rsidRDefault="00000000" w:rsidRPr="00000000" w14:paraId="0000002E">
      <w:pPr>
        <w:spacing w:line="240" w:lineRule="auto"/>
        <w:rPr/>
      </w:pPr>
      <w:r w:rsidDel="00000000" w:rsidR="00000000" w:rsidRPr="00000000">
        <w:rPr>
          <w:rtl w:val="0"/>
        </w:rPr>
        <w:t xml:space="preserve">Identity integration</w:t>
      </w:r>
    </w:p>
    <w:p w:rsidR="00000000" w:rsidDel="00000000" w:rsidP="00000000" w:rsidRDefault="00000000" w:rsidRPr="00000000" w14:paraId="0000002F">
      <w:pPr>
        <w:spacing w:line="240" w:lineRule="auto"/>
        <w:rPr/>
      </w:pPr>
      <w:r w:rsidDel="00000000" w:rsidR="00000000" w:rsidRPr="00000000">
        <w:rPr>
          <w:rtl w:val="0"/>
        </w:rPr>
        <w:t xml:space="preserve">Impulse control</w:t>
      </w:r>
    </w:p>
    <w:p w:rsidR="00000000" w:rsidDel="00000000" w:rsidP="00000000" w:rsidRDefault="00000000" w:rsidRPr="00000000" w14:paraId="00000030">
      <w:pPr>
        <w:spacing w:line="240" w:lineRule="auto"/>
        <w:rPr/>
      </w:pPr>
      <w:r w:rsidDel="00000000" w:rsidR="00000000" w:rsidRPr="00000000">
        <w:rPr>
          <w:rtl w:val="0"/>
        </w:rPr>
        <w:t xml:space="preserve">Perspective taking</w:t>
      </w:r>
    </w:p>
    <w:p w:rsidR="00000000" w:rsidDel="00000000" w:rsidP="00000000" w:rsidRDefault="00000000" w:rsidRPr="00000000" w14:paraId="00000031">
      <w:pPr>
        <w:spacing w:line="240" w:lineRule="auto"/>
        <w:rPr/>
      </w:pPr>
      <w:r w:rsidDel="00000000" w:rsidR="00000000" w:rsidRPr="00000000">
        <w:rPr>
          <w:rtl w:val="0"/>
        </w:rPr>
        <w:t xml:space="preserve">Planful competence</w:t>
      </w:r>
    </w:p>
    <w:p w:rsidR="00000000" w:rsidDel="00000000" w:rsidP="00000000" w:rsidRDefault="00000000" w:rsidRPr="00000000" w14:paraId="00000032">
      <w:pPr>
        <w:spacing w:line="240" w:lineRule="auto"/>
        <w:rPr/>
      </w:pPr>
      <w:r w:rsidDel="00000000" w:rsidR="00000000" w:rsidRPr="00000000">
        <w:rPr>
          <w:rtl w:val="0"/>
        </w:rPr>
        <w:t xml:space="preserve">Positive identity development</w:t>
      </w:r>
    </w:p>
    <w:p w:rsidR="00000000" w:rsidDel="00000000" w:rsidP="00000000" w:rsidRDefault="00000000" w:rsidRPr="00000000" w14:paraId="00000033">
      <w:pPr>
        <w:spacing w:line="240" w:lineRule="auto"/>
        <w:rPr/>
      </w:pPr>
      <w:r w:rsidDel="00000000" w:rsidR="00000000" w:rsidRPr="00000000">
        <w:rPr>
          <w:rtl w:val="0"/>
        </w:rPr>
        <w:t xml:space="preserve">Positive outlook</w:t>
      </w:r>
    </w:p>
    <w:p w:rsidR="00000000" w:rsidDel="00000000" w:rsidP="00000000" w:rsidRDefault="00000000" w:rsidRPr="00000000" w14:paraId="00000034">
      <w:pPr>
        <w:spacing w:line="240" w:lineRule="auto"/>
        <w:rPr/>
      </w:pPr>
      <w:r w:rsidDel="00000000" w:rsidR="00000000" w:rsidRPr="00000000">
        <w:rPr>
          <w:rtl w:val="0"/>
        </w:rPr>
        <w:t xml:space="preserve">Reflection</w:t>
      </w:r>
    </w:p>
    <w:p w:rsidR="00000000" w:rsidDel="00000000" w:rsidP="00000000" w:rsidRDefault="00000000" w:rsidRPr="00000000" w14:paraId="00000035">
      <w:pPr>
        <w:spacing w:line="240" w:lineRule="auto"/>
        <w:rPr/>
      </w:pPr>
      <w:r w:rsidDel="00000000" w:rsidR="00000000" w:rsidRPr="00000000">
        <w:rPr>
          <w:rtl w:val="0"/>
        </w:rPr>
        <w:t xml:space="preserve">Relationship skills</w:t>
      </w:r>
    </w:p>
    <w:p w:rsidR="00000000" w:rsidDel="00000000" w:rsidP="00000000" w:rsidRDefault="00000000" w:rsidRPr="00000000" w14:paraId="00000036">
      <w:pPr>
        <w:spacing w:line="240" w:lineRule="auto"/>
        <w:rPr/>
      </w:pPr>
      <w:r w:rsidDel="00000000" w:rsidR="00000000" w:rsidRPr="00000000">
        <w:rPr>
          <w:rtl w:val="0"/>
        </w:rPr>
        <w:t xml:space="preserve">Resilience</w:t>
      </w:r>
    </w:p>
    <w:p w:rsidR="00000000" w:rsidDel="00000000" w:rsidP="00000000" w:rsidRDefault="00000000" w:rsidRPr="00000000" w14:paraId="00000037">
      <w:pPr>
        <w:spacing w:line="240" w:lineRule="auto"/>
        <w:rPr/>
      </w:pPr>
      <w:r w:rsidDel="00000000" w:rsidR="00000000" w:rsidRPr="00000000">
        <w:rPr>
          <w:rtl w:val="0"/>
        </w:rPr>
        <w:t xml:space="preserve">Resourcefulness</w:t>
      </w:r>
    </w:p>
    <w:p w:rsidR="00000000" w:rsidDel="00000000" w:rsidP="00000000" w:rsidRDefault="00000000" w:rsidRPr="00000000" w14:paraId="00000038">
      <w:pPr>
        <w:spacing w:line="240" w:lineRule="auto"/>
        <w:rPr/>
      </w:pPr>
      <w:r w:rsidDel="00000000" w:rsidR="00000000" w:rsidRPr="00000000">
        <w:rPr>
          <w:rtl w:val="0"/>
        </w:rPr>
        <w:t xml:space="preserve">Self-advocacy</w:t>
      </w:r>
    </w:p>
    <w:p w:rsidR="00000000" w:rsidDel="00000000" w:rsidP="00000000" w:rsidRDefault="00000000" w:rsidRPr="00000000" w14:paraId="00000039">
      <w:pPr>
        <w:spacing w:line="240" w:lineRule="auto"/>
        <w:rPr/>
      </w:pPr>
      <w:r w:rsidDel="00000000" w:rsidR="00000000" w:rsidRPr="00000000">
        <w:rPr>
          <w:rtl w:val="0"/>
        </w:rPr>
        <w:t xml:space="preserve">Self-discipline</w:t>
      </w:r>
    </w:p>
    <w:p w:rsidR="00000000" w:rsidDel="00000000" w:rsidP="00000000" w:rsidRDefault="00000000" w:rsidRPr="00000000" w14:paraId="0000003A">
      <w:pPr>
        <w:spacing w:line="240" w:lineRule="auto"/>
        <w:rPr/>
      </w:pPr>
      <w:r w:rsidDel="00000000" w:rsidR="00000000" w:rsidRPr="00000000">
        <w:rPr>
          <w:rtl w:val="0"/>
        </w:rPr>
        <w:t xml:space="preserve">Sense of purpose</w:t>
      </w:r>
    </w:p>
    <w:p w:rsidR="00000000" w:rsidDel="00000000" w:rsidP="00000000" w:rsidRDefault="00000000" w:rsidRPr="00000000" w14:paraId="0000003B">
      <w:pPr>
        <w:spacing w:line="240" w:lineRule="auto"/>
        <w:rPr/>
      </w:pPr>
      <w:r w:rsidDel="00000000" w:rsidR="00000000" w:rsidRPr="00000000">
        <w:rPr>
          <w:rtl w:val="0"/>
        </w:rPr>
        <w:t xml:space="preserve">Social problem solving</w:t>
      </w:r>
    </w:p>
    <w:p w:rsidR="00000000" w:rsidDel="00000000" w:rsidP="00000000" w:rsidRDefault="00000000" w:rsidRPr="00000000" w14:paraId="0000003C">
      <w:pPr>
        <w:spacing w:line="240" w:lineRule="auto"/>
        <w:rPr/>
        <w:sectPr>
          <w:type w:val="continuous"/>
          <w:pgSz w:h="16838" w:w="11906"/>
          <w:pgMar w:bottom="720" w:top="720" w:left="720" w:right="720" w:header="720" w:footer="720"/>
          <w:cols w:equalWidth="0" w:num="2">
            <w:col w:space="720" w:w="4872.74"/>
            <w:col w:space="0" w:w="4872.74"/>
          </w:cols>
        </w:sectPr>
      </w:pPr>
      <w:r w:rsidDel="00000000" w:rsidR="00000000" w:rsidRPr="00000000">
        <w:rPr>
          <w:rtl w:val="0"/>
        </w:rPr>
        <w:t xml:space="preserve">Well Being</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pStyle w:val="Subtitle"/>
        <w:rPr/>
      </w:pPr>
      <w:bookmarkStart w:colFirst="0" w:colLast="0" w:name="_7xa29m500vx4" w:id="8"/>
      <w:bookmarkEnd w:id="8"/>
      <w:r w:rsidDel="00000000" w:rsidR="00000000" w:rsidRPr="00000000">
        <w:rPr>
          <w:rtl w:val="0"/>
        </w:rPr>
      </w:r>
    </w:p>
    <w:p w:rsidR="00000000" w:rsidDel="00000000" w:rsidP="00000000" w:rsidRDefault="00000000" w:rsidRPr="00000000" w14:paraId="0000003F">
      <w:pPr>
        <w:pStyle w:val="Subtitle"/>
        <w:rPr/>
      </w:pPr>
      <w:bookmarkStart w:colFirst="0" w:colLast="0" w:name="_bm5704db8q0a" w:id="9"/>
      <w:bookmarkEnd w:id="9"/>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type w:val="continuous"/>
      <w:pgSz w:h="16838" w:w="11906"/>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line="300" w:lineRule="auto"/>
      <w:rPr/>
    </w:pPr>
    <w:r w:rsidDel="00000000" w:rsidR="00000000" w:rsidRPr="00000000">
      <w:rPr>
        <w:rFonts w:ascii="Lato Light" w:cs="Lato Light" w:eastAsia="Lato Light" w:hAnsi="Lato Light"/>
        <w:b w:val="1"/>
        <w:color w:val="042437"/>
        <w:sz w:val="36"/>
        <w:szCs w:val="36"/>
      </w:rPr>
      <w:drawing>
        <wp:inline distB="114300" distT="114300" distL="114300" distR="114300">
          <wp:extent cx="659110" cy="4333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59110" cy="433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Light-regular.ttf"/><Relationship Id="rId2" Type="http://schemas.openxmlformats.org/officeDocument/2006/relationships/font" Target="fonts/LatoLight-bold.ttf"/><Relationship Id="rId3" Type="http://schemas.openxmlformats.org/officeDocument/2006/relationships/font" Target="fonts/LatoLight-italic.ttf"/><Relationship Id="rId4" Type="http://schemas.openxmlformats.org/officeDocument/2006/relationships/font" Target="fonts/La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